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CF" w:rsidRDefault="00641F0B" w:rsidP="00641F0B">
      <w:pPr>
        <w:tabs>
          <w:tab w:val="left" w:pos="990"/>
        </w:tabs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1F0B">
        <w:rPr>
          <w:rFonts w:ascii="Times New Roman" w:hAnsi="Times New Roman"/>
          <w:b/>
          <w:sz w:val="28"/>
          <w:szCs w:val="28"/>
        </w:rPr>
        <w:t>TENDERLAS</w:t>
      </w:r>
      <w:r>
        <w:rPr>
          <w:rFonts w:ascii="Times New Roman" w:hAnsi="Times New Roman"/>
          <w:b/>
          <w:sz w:val="28"/>
          <w:szCs w:val="28"/>
        </w:rPr>
        <w:t>H TUSHUNCHASI VA UNING JARAYONI</w:t>
      </w:r>
    </w:p>
    <w:p w:rsidR="00E05242" w:rsidRPr="005A3250" w:rsidRDefault="00E05242" w:rsidP="00E05242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Husanova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Gulchexra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Sayfullayevna</w:t>
      </w:r>
      <w:proofErr w:type="spellEnd"/>
    </w:p>
    <w:p w:rsidR="00E05242" w:rsidRPr="005A3250" w:rsidRDefault="00E05242" w:rsidP="00E05242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E05242" w:rsidRPr="005A3250" w:rsidRDefault="00E05242" w:rsidP="00E05242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Iqtisodiyot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va</w:t>
      </w:r>
      <w:proofErr w:type="spellEnd"/>
      <w:proofErr w:type="gram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biznesni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boshqarish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kafedrasi</w:t>
      </w:r>
      <w:proofErr w:type="spellEnd"/>
    </w:p>
    <w:p w:rsidR="00E05242" w:rsidRPr="005A3250" w:rsidRDefault="00E05242" w:rsidP="00E05242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I.f.f.d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., PhD.</w:t>
      </w:r>
    </w:p>
    <w:p w:rsidR="00E05242" w:rsidRPr="005A3250" w:rsidRDefault="00A918C8" w:rsidP="00E05242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hyperlink r:id="rId5" w:history="1">
        <w:r w:rsidR="00E05242" w:rsidRPr="005A3250">
          <w:rPr>
            <w:rStyle w:val="a4"/>
            <w:rFonts w:ascii="Times New Roman" w:hAnsi="Times New Roman"/>
            <w:b/>
            <w:sz w:val="24"/>
            <w:szCs w:val="24"/>
          </w:rPr>
          <w:t>g.xusanova@nordicuniversity.org</w:t>
        </w:r>
      </w:hyperlink>
      <w:r w:rsidR="00E05242" w:rsidRPr="005A3250">
        <w:rPr>
          <w:rFonts w:ascii="Times New Roman" w:hAnsi="Times New Roman"/>
          <w:b/>
          <w:sz w:val="24"/>
          <w:szCs w:val="24"/>
        </w:rPr>
        <w:t xml:space="preserve">  </w:t>
      </w:r>
    </w:p>
    <w:p w:rsidR="00E05242" w:rsidRPr="005A3250" w:rsidRDefault="00E05242" w:rsidP="00E0524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A3250">
        <w:rPr>
          <w:rFonts w:ascii="Times New Roman" w:hAnsi="Times New Roman"/>
          <w:b/>
          <w:sz w:val="24"/>
          <w:szCs w:val="24"/>
        </w:rPr>
        <w:t>ORCID: 0009-0002-7621-4008</w:t>
      </w:r>
    </w:p>
    <w:p w:rsidR="00E05242" w:rsidRPr="005A3250" w:rsidRDefault="00E05242" w:rsidP="00E0524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Habibjonov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Usmonjon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Sherzodjon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E05242" w:rsidRPr="005A3250" w:rsidRDefault="00E05242" w:rsidP="00E05242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E05242" w:rsidRPr="005A3250" w:rsidRDefault="00A918C8" w:rsidP="00E05242">
      <w:pPr>
        <w:jc w:val="right"/>
        <w:rPr>
          <w:rFonts w:ascii="Times New Roman" w:hAnsi="Times New Roman"/>
          <w:b/>
          <w:sz w:val="24"/>
          <w:szCs w:val="24"/>
        </w:rPr>
      </w:pPr>
      <w:hyperlink r:id="rId6" w:history="1">
        <w:r w:rsidR="00E05242" w:rsidRPr="005A3250">
          <w:rPr>
            <w:rStyle w:val="a4"/>
            <w:rFonts w:ascii="Times New Roman" w:hAnsi="Times New Roman"/>
            <w:b/>
            <w:sz w:val="24"/>
            <w:szCs w:val="24"/>
          </w:rPr>
          <w:t>u.habibjonov@nordicuniversity.org</w:t>
        </w:r>
      </w:hyperlink>
      <w:r w:rsidR="00E05242" w:rsidRPr="005A3250">
        <w:rPr>
          <w:rFonts w:ascii="Times New Roman" w:hAnsi="Times New Roman"/>
          <w:b/>
          <w:sz w:val="24"/>
          <w:szCs w:val="24"/>
        </w:rPr>
        <w:t xml:space="preserve">  </w:t>
      </w:r>
    </w:p>
    <w:p w:rsidR="00E05242" w:rsidRPr="005A3250" w:rsidRDefault="00E05242" w:rsidP="00E0524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A3250">
        <w:rPr>
          <w:rFonts w:ascii="Times New Roman" w:hAnsi="Times New Roman"/>
          <w:b/>
          <w:sz w:val="24"/>
          <w:szCs w:val="24"/>
        </w:rPr>
        <w:t>(ORCID 0009-0005-6345-483X)</w:t>
      </w:r>
    </w:p>
    <w:p w:rsidR="007903F4" w:rsidRDefault="007903F4" w:rsidP="007903F4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7903F4">
        <w:rPr>
          <w:rFonts w:ascii="Times New Roman" w:hAnsi="Times New Roman"/>
          <w:b/>
          <w:sz w:val="28"/>
          <w:szCs w:val="24"/>
        </w:rPr>
        <w:t>Annotatsiya</w:t>
      </w:r>
      <w:proofErr w:type="spellEnd"/>
    </w:p>
    <w:p w:rsidR="007903F4" w:rsidRPr="007903F4" w:rsidRDefault="007903F4" w:rsidP="007903F4">
      <w:pPr>
        <w:spacing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B817A0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sanoatga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sotilayotgan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murakkabligiga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metodologiyasiga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farq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Biroq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mutaxassislari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umumiy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7903F4" w:rsidRPr="007903F4" w:rsidRDefault="007903F4" w:rsidP="007903F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015422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015422">
        <w:rPr>
          <w:rFonts w:ascii="Times New Roman" w:hAnsi="Times New Roman"/>
          <w:sz w:val="28"/>
          <w:szCs w:val="28"/>
        </w:rPr>
        <w:t>savdo</w:t>
      </w:r>
      <w:proofErr w:type="spellEnd"/>
      <w:r w:rsidRPr="000154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siyosat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makroiqtisodiy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davlat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xususiy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sektorda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B817A0">
        <w:rPr>
          <w:rFonts w:ascii="Times New Roman" w:hAnsi="Times New Roman"/>
          <w:sz w:val="28"/>
          <w:szCs w:val="28"/>
        </w:rPr>
        <w:t>muayyan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asoslangan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holda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tkaziladi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yig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maqbul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xarajatlarini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sifatni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kuchaytirishi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tabs>
          <w:tab w:val="left" w:pos="99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b/>
          <w:noProof/>
          <w:lang w:val="ru-RU" w:eastAsia="ru-RU"/>
        </w:rPr>
        <w:lastRenderedPageBreak/>
        <w:drawing>
          <wp:inline distT="0" distB="0" distL="0" distR="0" wp14:anchorId="13B6B59A" wp14:editId="63618772">
            <wp:extent cx="5166360" cy="3071439"/>
            <wp:effectExtent l="0" t="0" r="0" b="0"/>
            <wp:docPr id="169" name="Изображение 1" descr="9c8a96be-45f4-0f46-3874-86a32648d2c1_lists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9c8a96be-45f4-0f46-3874-86a32648d2c1_lists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657" cy="30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CF" w:rsidRPr="00B817A0" w:rsidRDefault="00DC25CF" w:rsidP="00DC25CF">
      <w:pPr>
        <w:tabs>
          <w:tab w:val="left" w:pos="99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2.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DC25CF" w:rsidRPr="00B817A0" w:rsidRDefault="00DC25CF" w:rsidP="00DC25CF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Tenderlashning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asl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mohiyati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shundaki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  <w:szCs w:val="28"/>
        </w:rPr>
        <w:t>adolatli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yaratadi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topishga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harakat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tayyorlashi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baholanishi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hujjatlarni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ochiq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shaffof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lozim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ishonchni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korrupsiya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xavfini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iqtisodiy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jamiyatda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adolatli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yaratadi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vazifalar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ajralib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biznes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quyidagicha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p w:rsidR="00DC25CF" w:rsidRPr="00B817A0" w:rsidRDefault="00DC25CF" w:rsidP="00DC25CF">
      <w:pPr>
        <w:tabs>
          <w:tab w:val="left" w:pos="99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F960A97" wp14:editId="2A210518">
            <wp:extent cx="5234940" cy="2743200"/>
            <wp:effectExtent l="0" t="57150" r="22860" b="57150"/>
            <wp:docPr id="170" name="Схема 17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C25CF" w:rsidRPr="00B817A0" w:rsidRDefault="00DC25CF" w:rsidP="00DC25CF">
      <w:pPr>
        <w:tabs>
          <w:tab w:val="left" w:pos="99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3.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jarayonini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bosqichlari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Talablarni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aniqlash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birinchi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belgilaydi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muddatlarini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i/>
          <w:sz w:val="28"/>
          <w:szCs w:val="28"/>
        </w:rPr>
        <w:t xml:space="preserve">Tender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hujjatlarini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tayyorlash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aniqlangach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keyingi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hujjatlarini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tayyorlashdir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hujjatlar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jumladan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shartnoma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narxlar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tafsilotlar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i/>
          <w:sz w:val="28"/>
          <w:szCs w:val="28"/>
        </w:rPr>
        <w:t xml:space="preserve">Tender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e</w:t>
      </w:r>
      <w:r>
        <w:rPr>
          <w:rFonts w:ascii="Times New Roman" w:hAnsi="Times New Roman"/>
          <w:i/>
          <w:sz w:val="28"/>
          <w:szCs w:val="28"/>
        </w:rPr>
        <w:t>’</w:t>
      </w:r>
      <w:r w:rsidRPr="00B817A0">
        <w:rPr>
          <w:rFonts w:ascii="Times New Roman" w:hAnsi="Times New Roman"/>
          <w:i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r w:rsidRPr="00B817A0">
        <w:rPr>
          <w:rFonts w:ascii="Times New Roman" w:hAnsi="Times New Roman"/>
          <w:sz w:val="28"/>
          <w:szCs w:val="28"/>
        </w:rPr>
        <w:t xml:space="preserve">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hujjatlari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tayyorlangach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jamoatchilikka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auditoriyaga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internetda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joylashtirish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gazetalarda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platformalarda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Takliflarni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qabul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i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baholash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r w:rsidRPr="00B817A0">
        <w:rPr>
          <w:rFonts w:ascii="Times New Roman" w:hAnsi="Times New Roman"/>
          <w:sz w:val="28"/>
          <w:szCs w:val="28"/>
        </w:rPr>
        <w:t xml:space="preserve">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qilinganidan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qabul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solishtirishni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tanlaydi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Tanlov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i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shartnoma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tuzish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Baholashdan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shartnoma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tuziladi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Shartnoma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tuzish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ikki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kelishuvi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unda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lastRenderedPageBreak/>
        <w:t>Loyihani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Shartnoma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imzolanganidan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olibi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belgilangan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muvofiq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i/>
          <w:sz w:val="28"/>
          <w:szCs w:val="28"/>
        </w:rPr>
        <w:t xml:space="preserve">Monitoring </w:t>
      </w:r>
      <w:proofErr w:type="spellStart"/>
      <w:proofErr w:type="gramStart"/>
      <w:r w:rsidRPr="00B817A0">
        <w:rPr>
          <w:rFonts w:ascii="Times New Roman" w:hAnsi="Times New Roman"/>
          <w:i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baholash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bajarilishi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davomida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monitoring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tkaziladi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muhimdir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tabs>
          <w:tab w:val="left" w:pos="81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sohasida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shakllarda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xususiyatlarga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quyidagicha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p w:rsidR="00DC25CF" w:rsidRPr="00B817A0" w:rsidRDefault="00DC25CF" w:rsidP="00DC25CF">
      <w:pPr>
        <w:tabs>
          <w:tab w:val="left" w:pos="8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FCD3313" wp14:editId="0E2D3313">
            <wp:extent cx="5356860" cy="2606040"/>
            <wp:effectExtent l="0" t="0" r="15240" b="22860"/>
            <wp:docPr id="171" name="Схема 1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C25CF" w:rsidRPr="00B817A0" w:rsidRDefault="00DC25CF" w:rsidP="00DC25CF">
      <w:pPr>
        <w:tabs>
          <w:tab w:val="left" w:pos="81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4.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umumiy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3"/>
        </w:numPr>
        <w:tabs>
          <w:tab w:val="left" w:pos="720"/>
          <w:tab w:val="left" w:pos="810"/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Ochiq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tender (Open Tender). </w:t>
      </w:r>
      <w:proofErr w:type="spellStart"/>
      <w:r w:rsidRPr="00B817A0">
        <w:rPr>
          <w:rFonts w:ascii="Times New Roman" w:hAnsi="Times New Roman"/>
          <w:sz w:val="28"/>
          <w:szCs w:val="28"/>
        </w:rPr>
        <w:t>Ochiq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barcha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qiziqqan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ochiq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usulning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afzalliklari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3"/>
        </w:numPr>
        <w:tabs>
          <w:tab w:val="left" w:pos="720"/>
          <w:tab w:val="left" w:pos="810"/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Yopiq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tender (Closed Tender). </w:t>
      </w:r>
      <w:proofErr w:type="spellStart"/>
      <w:r w:rsidRPr="00B817A0">
        <w:rPr>
          <w:rFonts w:ascii="Times New Roman" w:hAnsi="Times New Roman"/>
          <w:sz w:val="28"/>
          <w:szCs w:val="28"/>
        </w:rPr>
        <w:t>Yopiq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taklifnoma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yuborishga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usul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shartlar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Yopiq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kamroq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lekin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proq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nazorat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ostida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tkaziladi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3"/>
        </w:numPr>
        <w:tabs>
          <w:tab w:val="left" w:pos="720"/>
          <w:tab w:val="left" w:pos="810"/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lastRenderedPageBreak/>
        <w:t>Tanlov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(Competition). </w:t>
      </w:r>
      <w:proofErr w:type="spellStart"/>
      <w:r w:rsidRPr="00B817A0">
        <w:rPr>
          <w:rFonts w:ascii="Times New Roman" w:hAnsi="Times New Roman"/>
          <w:sz w:val="28"/>
          <w:szCs w:val="28"/>
        </w:rPr>
        <w:t>Tanlov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nomzodlar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orasidan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tkaziladi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usulda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Tanlov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ijro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innovatsion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3"/>
        </w:numPr>
        <w:tabs>
          <w:tab w:val="left" w:pos="720"/>
          <w:tab w:val="left" w:pos="810"/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Narx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bo</w:t>
      </w:r>
      <w:r>
        <w:rPr>
          <w:rFonts w:ascii="Times New Roman" w:hAnsi="Times New Roman"/>
          <w:i/>
          <w:sz w:val="28"/>
          <w:szCs w:val="28"/>
        </w:rPr>
        <w:t>’</w:t>
      </w:r>
      <w:r w:rsidRPr="00B817A0">
        <w:rPr>
          <w:rFonts w:ascii="Times New Roman" w:hAnsi="Times New Roman"/>
          <w:i/>
          <w:sz w:val="28"/>
          <w:szCs w:val="28"/>
        </w:rPr>
        <w:t>yicha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tender (Price Tender). </w:t>
      </w:r>
      <w:proofErr w:type="spellStart"/>
      <w:r w:rsidRPr="00B817A0">
        <w:rPr>
          <w:rFonts w:ascii="Times New Roman" w:hAnsi="Times New Roman"/>
          <w:sz w:val="28"/>
          <w:szCs w:val="28"/>
        </w:rPr>
        <w:t>Narx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yicha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tibor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jihatidan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past </w:t>
      </w:r>
      <w:proofErr w:type="spellStart"/>
      <w:r w:rsidRPr="00B817A0">
        <w:rPr>
          <w:rFonts w:ascii="Times New Roman" w:hAnsi="Times New Roman"/>
          <w:sz w:val="28"/>
          <w:szCs w:val="28"/>
        </w:rPr>
        <w:t>narxni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shaxs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deb </w:t>
      </w:r>
      <w:proofErr w:type="spellStart"/>
      <w:r w:rsidRPr="00B817A0">
        <w:rPr>
          <w:rFonts w:ascii="Times New Roman" w:hAnsi="Times New Roman"/>
          <w:sz w:val="28"/>
          <w:szCs w:val="28"/>
        </w:rPr>
        <w:t>topiladi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usul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oddiy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ishlatiladi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pStyle w:val="a3"/>
        <w:numPr>
          <w:ilvl w:val="0"/>
          <w:numId w:val="3"/>
        </w:numPr>
        <w:tabs>
          <w:tab w:val="left" w:pos="720"/>
          <w:tab w:val="left" w:pos="810"/>
          <w:tab w:val="left" w:pos="108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Texnik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tender (Technical Tender). </w:t>
      </w:r>
      <w:proofErr w:type="spellStart"/>
      <w:r w:rsidRPr="00B817A0">
        <w:rPr>
          <w:rFonts w:ascii="Times New Roman" w:hAnsi="Times New Roman"/>
          <w:sz w:val="28"/>
          <w:szCs w:val="28"/>
        </w:rPr>
        <w:t>Texnik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jihatlar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spetsifikatsiyalar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shaxs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deb </w:t>
      </w:r>
      <w:proofErr w:type="spellStart"/>
      <w:r w:rsidRPr="00B817A0">
        <w:rPr>
          <w:rFonts w:ascii="Times New Roman" w:hAnsi="Times New Roman"/>
          <w:sz w:val="28"/>
          <w:szCs w:val="28"/>
        </w:rPr>
        <w:t>topiladi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usul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murakkab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juda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C25CF" w:rsidRPr="00B817A0" w:rsidRDefault="00DC25CF" w:rsidP="00DC25CF">
      <w:pPr>
        <w:tabs>
          <w:tab w:val="left" w:pos="720"/>
          <w:tab w:val="left" w:pos="810"/>
          <w:tab w:val="left" w:pos="10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Tenderlash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kamchiliklari</w:t>
      </w:r>
      <w:proofErr w:type="spellEnd"/>
    </w:p>
    <w:p w:rsidR="006C495D" w:rsidRDefault="00DC25CF" w:rsidP="00DC25CF">
      <w:pPr>
        <w:tabs>
          <w:tab w:val="left" w:pos="720"/>
          <w:tab w:val="left" w:pos="810"/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bajarilgan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qator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kamchiliklar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resurslarning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ishlatilmasligi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muvaffaqiyatsiz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tugashiga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Birinchidan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hujjatlari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lmasa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noto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tushunishiga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yetarlicha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tayyorlanmasligiga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sabab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Ikkinchidan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davomida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shaffoflikning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yetishmasligi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ishonchsizlikni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keltirib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pasaytiradi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Uchinchidan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baholash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mezonlarining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noaniqligi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adolatsizligi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beruvchilarni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xato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vaqtni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muammolari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kechikishi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muddatlarning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uzaytirilishi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rejalashtirishini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buzishi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moliyaviy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oqibatlarga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Beshinchidan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malakasi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tajribasi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yetarli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lmasa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salbiy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tender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muloqotning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yetishmasligi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noto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muloqot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muammolarni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keltirib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ishtirokchilar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tushunmovchiliklarga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Nihoyat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monitoring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nazorat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mexanizmlarining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qligi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oshirilishini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nazorat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qiyinchiliklar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diradi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loyihalarning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bajarilishini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olmaydi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A918C8" w:rsidRDefault="00A918C8" w:rsidP="00A918C8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A918C8" w:rsidRPr="00A918C8" w:rsidRDefault="00A918C8" w:rsidP="00A918C8">
      <w:pPr>
        <w:pStyle w:val="a3"/>
        <w:numPr>
          <w:ilvl w:val="0"/>
          <w:numId w:val="4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  <w:bookmarkStart w:id="0" w:name="_GoBack"/>
      <w:bookmarkEnd w:id="0"/>
    </w:p>
    <w:sectPr w:rsidR="00A918C8" w:rsidRPr="00A9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07DE4"/>
    <w:multiLevelType w:val="hybridMultilevel"/>
    <w:tmpl w:val="178E0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2D5F"/>
    <w:multiLevelType w:val="hybridMultilevel"/>
    <w:tmpl w:val="C6982936"/>
    <w:lvl w:ilvl="0" w:tplc="AE6AB1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46CEF"/>
    <w:multiLevelType w:val="hybridMultilevel"/>
    <w:tmpl w:val="A5D4233E"/>
    <w:lvl w:ilvl="0" w:tplc="AE6AB1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CF"/>
    <w:rsid w:val="00584C25"/>
    <w:rsid w:val="00641F0B"/>
    <w:rsid w:val="006C495D"/>
    <w:rsid w:val="007903F4"/>
    <w:rsid w:val="00A918C8"/>
    <w:rsid w:val="00BA02B9"/>
    <w:rsid w:val="00DC25CF"/>
    <w:rsid w:val="00E0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CCFA9-C134-4D06-B278-E83B18E3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CF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CF"/>
    <w:pPr>
      <w:ind w:left="720"/>
    </w:pPr>
  </w:style>
  <w:style w:type="character" w:styleId="a4">
    <w:name w:val="Hyperlink"/>
    <w:basedOn w:val="a0"/>
    <w:uiPriority w:val="99"/>
    <w:semiHidden/>
    <w:unhideWhenUsed/>
    <w:rsid w:val="00790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hyperlink" Target="mailto:u.habibjonov@nordicuniversity.org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mailto:g.xusanova@nordicuniversity.org" TargetMode="Externa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E42346-1EA0-4D8C-988D-38AA2F701515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A0FADBE-AE0D-4EE4-A550-4DB36AF54E3B}">
      <dgm:prSet phldrT="[Текст]"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Talablarni aniqlash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A00B94-3BAF-40AE-A1E4-71DF00436961}" type="parTrans" cxnId="{0105161B-D67F-4502-8BA8-D8B788C42A78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7B7AB1-F001-44B3-8069-1764DD44A03F}" type="sibTrans" cxnId="{0105161B-D67F-4502-8BA8-D8B788C42A78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BC165-3D5C-45C1-B68D-04C73970FD0B}">
      <dgm:prSet phldrT="[Текст]"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Tender hujjatlarini tayyorlash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9D98D3-7832-4B98-AB38-06C018EAF86C}" type="parTrans" cxnId="{4E0CFA3A-BEEE-41B4-B4AC-1DA134595B0B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019817-64B6-4900-A8C5-81062A34A6AA}" type="sibTrans" cxnId="{4E0CFA3A-BEEE-41B4-B4AC-1DA134595B0B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A1367B-CD08-4250-9DAB-844CCC3E266A}">
      <dgm:prSet phldrT="[Текст]"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Tender e’lon qilish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75339F-1294-4225-9B6E-F8EB3A13F62F}" type="parTrans" cxnId="{6FF53C0E-2B68-4BC2-B00C-CD0C9B3F15F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4EB4B7-A47F-4C7F-A922-45D4DCC62AB5}" type="sibTrans" cxnId="{6FF53C0E-2B68-4BC2-B00C-CD0C9B3F15F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A21D86-160A-4793-97D9-9911EF6D4A72}">
      <dgm:prSet phldrT="[Текст]"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Takliflarni qabul qilish va baholash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182EB8-04AD-4E81-B4E8-246835CA649F}" type="parTrans" cxnId="{76604CD3-B4B0-4E3D-80BE-30331C18F5E7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2A6330-CE38-4D03-AF38-B3BF656A9684}" type="sibTrans" cxnId="{76604CD3-B4B0-4E3D-80BE-30331C18F5E7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B5F2D1-48BC-49D0-A3CD-85306BA33C59}">
      <dgm:prSet phldrT="[Текст]"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Tanlov va shartnoma tuzish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38B87A-3A03-414F-AA71-6BE4B88D3963}" type="parTrans" cxnId="{253AFE9E-A460-4821-BC9F-E93BAB5A1A98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B3359C-9B78-41B4-BB93-81CBD8D5D611}" type="sibTrans" cxnId="{253AFE9E-A460-4821-BC9F-E93BAB5A1A98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62DAF0-7CAC-40C1-A9B4-E46AE72E5E98}">
      <dgm:prSet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Monitoring va baholash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F73FA6-4AA4-4782-960E-AB1C5B41FCB5}" type="parTrans" cxnId="{72C94E25-AEC4-4DA4-A0D3-772F4C75AE44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B29165-5572-47E5-A390-ED5544F19B4B}" type="sibTrans" cxnId="{72C94E25-AEC4-4DA4-A0D3-772F4C75AE44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A580E0-A761-49CC-A012-1D3588465EF2}">
      <dgm:prSet custT="1"/>
      <dgm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Loyihani amalga oshirish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F7BD2B-1218-460C-AF95-EE3AA637FA01}" type="parTrans" cxnId="{81CEB8EB-EFB5-41C9-86F7-360526C57A2F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A83618-9C78-4D2F-9AD4-18D0D00778DC}" type="sibTrans" cxnId="{81CEB8EB-EFB5-41C9-86F7-360526C57A2F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C08736-3618-4F71-B764-E4DF69DE38DA}" type="pres">
      <dgm:prSet presAssocID="{0CE42346-1EA0-4D8C-988D-38AA2F70151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0313A8A-9A9A-445E-A4C4-79817B12C72B}" type="pres">
      <dgm:prSet presAssocID="{1A0FADBE-AE0D-4EE4-A550-4DB36AF54E3B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375630-CDC0-43B2-BAAE-BBC2B9D5078C}" type="pres">
      <dgm:prSet presAssocID="{697B7AB1-F001-44B3-8069-1764DD44A03F}" presName="sibTrans" presStyleCnt="0"/>
      <dgm:spPr>
        <a:scene3d>
          <a:camera prst="orthographicFront"/>
          <a:lightRig rig="threePt" dir="t"/>
        </a:scene3d>
        <a:sp3d>
          <a:bevelT prst="relaxedInset"/>
        </a:sp3d>
      </dgm:spPr>
    </dgm:pt>
    <dgm:pt modelId="{C6397165-B91F-4991-A542-817402BF7E9A}" type="pres">
      <dgm:prSet presAssocID="{79DBC165-3D5C-45C1-B68D-04C73970FD0B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210E56-1A98-4D09-A12B-B5251A1E0DEB}" type="pres">
      <dgm:prSet presAssocID="{79019817-64B6-4900-A8C5-81062A34A6AA}" presName="sibTrans" presStyleCnt="0"/>
      <dgm:spPr>
        <a:scene3d>
          <a:camera prst="orthographicFront"/>
          <a:lightRig rig="threePt" dir="t"/>
        </a:scene3d>
        <a:sp3d>
          <a:bevelT prst="relaxedInset"/>
        </a:sp3d>
      </dgm:spPr>
    </dgm:pt>
    <dgm:pt modelId="{6464E3DA-73D1-4CE2-AB1A-37DBB0CCB41A}" type="pres">
      <dgm:prSet presAssocID="{CEA1367B-CD08-4250-9DAB-844CCC3E266A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828DCA-4C28-4BC0-83FC-C9327FA85ED3}" type="pres">
      <dgm:prSet presAssocID="{094EB4B7-A47F-4C7F-A922-45D4DCC62AB5}" presName="sibTrans" presStyleCnt="0"/>
      <dgm:spPr>
        <a:scene3d>
          <a:camera prst="orthographicFront"/>
          <a:lightRig rig="threePt" dir="t"/>
        </a:scene3d>
        <a:sp3d>
          <a:bevelT prst="relaxedInset"/>
        </a:sp3d>
      </dgm:spPr>
    </dgm:pt>
    <dgm:pt modelId="{F82D984C-8B4B-4D4A-962A-0737080EC992}" type="pres">
      <dgm:prSet presAssocID="{DAA21D86-160A-4793-97D9-9911EF6D4A72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E901FC-92FA-428E-A923-D8AD387FED9C}" type="pres">
      <dgm:prSet presAssocID="{3F2A6330-CE38-4D03-AF38-B3BF656A9684}" presName="sibTrans" presStyleCnt="0"/>
      <dgm:spPr>
        <a:scene3d>
          <a:camera prst="orthographicFront"/>
          <a:lightRig rig="threePt" dir="t"/>
        </a:scene3d>
        <a:sp3d>
          <a:bevelT prst="relaxedInset"/>
        </a:sp3d>
      </dgm:spPr>
    </dgm:pt>
    <dgm:pt modelId="{33485B9D-634B-449D-ABC6-34E06DFD3EDC}" type="pres">
      <dgm:prSet presAssocID="{67B5F2D1-48BC-49D0-A3CD-85306BA33C59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00175C-C2E3-4591-93DA-060DF7998605}" type="pres">
      <dgm:prSet presAssocID="{E3B3359C-9B78-41B4-BB93-81CBD8D5D611}" presName="sibTrans" presStyleCnt="0"/>
      <dgm:spPr>
        <a:scene3d>
          <a:camera prst="orthographicFront"/>
          <a:lightRig rig="threePt" dir="t"/>
        </a:scene3d>
        <a:sp3d>
          <a:bevelT prst="relaxedInset"/>
        </a:sp3d>
      </dgm:spPr>
    </dgm:pt>
    <dgm:pt modelId="{5AC0436B-E64E-431A-B458-19D9647E2854}" type="pres">
      <dgm:prSet presAssocID="{C0A580E0-A761-49CC-A012-1D3588465EF2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993CCF-33BF-4EA6-B8D4-2253EA43AD45}" type="pres">
      <dgm:prSet presAssocID="{22A83618-9C78-4D2F-9AD4-18D0D00778DC}" presName="sibTrans" presStyleCnt="0"/>
      <dgm:spPr>
        <a:scene3d>
          <a:camera prst="orthographicFront"/>
          <a:lightRig rig="threePt" dir="t"/>
        </a:scene3d>
        <a:sp3d>
          <a:bevelT prst="relaxedInset"/>
        </a:sp3d>
      </dgm:spPr>
    </dgm:pt>
    <dgm:pt modelId="{B5B81A04-CDF0-4D84-8D4A-32CB9B312ED1}" type="pres">
      <dgm:prSet presAssocID="{F862DAF0-7CAC-40C1-A9B4-E46AE72E5E9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CE854E3-4D99-42D7-8FDF-E25993966CF9}" type="presOf" srcId="{1A0FADBE-AE0D-4EE4-A550-4DB36AF54E3B}" destId="{40313A8A-9A9A-445E-A4C4-79817B12C72B}" srcOrd="0" destOrd="0" presId="urn:microsoft.com/office/officeart/2005/8/layout/default"/>
    <dgm:cxn modelId="{81CEB8EB-EFB5-41C9-86F7-360526C57A2F}" srcId="{0CE42346-1EA0-4D8C-988D-38AA2F701515}" destId="{C0A580E0-A761-49CC-A012-1D3588465EF2}" srcOrd="5" destOrd="0" parTransId="{ABF7BD2B-1218-460C-AF95-EE3AA637FA01}" sibTransId="{22A83618-9C78-4D2F-9AD4-18D0D00778DC}"/>
    <dgm:cxn modelId="{4E0CFA3A-BEEE-41B4-B4AC-1DA134595B0B}" srcId="{0CE42346-1EA0-4D8C-988D-38AA2F701515}" destId="{79DBC165-3D5C-45C1-B68D-04C73970FD0B}" srcOrd="1" destOrd="0" parTransId="{ED9D98D3-7832-4B98-AB38-06C018EAF86C}" sibTransId="{79019817-64B6-4900-A8C5-81062A34A6AA}"/>
    <dgm:cxn modelId="{1BAFD886-DD30-4F96-9D4F-B62C63541566}" type="presOf" srcId="{F862DAF0-7CAC-40C1-A9B4-E46AE72E5E98}" destId="{B5B81A04-CDF0-4D84-8D4A-32CB9B312ED1}" srcOrd="0" destOrd="0" presId="urn:microsoft.com/office/officeart/2005/8/layout/default"/>
    <dgm:cxn modelId="{76604CD3-B4B0-4E3D-80BE-30331C18F5E7}" srcId="{0CE42346-1EA0-4D8C-988D-38AA2F701515}" destId="{DAA21D86-160A-4793-97D9-9911EF6D4A72}" srcOrd="3" destOrd="0" parTransId="{9D182EB8-04AD-4E81-B4E8-246835CA649F}" sibTransId="{3F2A6330-CE38-4D03-AF38-B3BF656A9684}"/>
    <dgm:cxn modelId="{253AFE9E-A460-4821-BC9F-E93BAB5A1A98}" srcId="{0CE42346-1EA0-4D8C-988D-38AA2F701515}" destId="{67B5F2D1-48BC-49D0-A3CD-85306BA33C59}" srcOrd="4" destOrd="0" parTransId="{C638B87A-3A03-414F-AA71-6BE4B88D3963}" sibTransId="{E3B3359C-9B78-41B4-BB93-81CBD8D5D611}"/>
    <dgm:cxn modelId="{35ABB348-44C4-4633-82FF-29D08E62DF87}" type="presOf" srcId="{0CE42346-1EA0-4D8C-988D-38AA2F701515}" destId="{13C08736-3618-4F71-B764-E4DF69DE38DA}" srcOrd="0" destOrd="0" presId="urn:microsoft.com/office/officeart/2005/8/layout/default"/>
    <dgm:cxn modelId="{64DECAD0-D9D5-4D59-9056-1FE6E071A284}" type="presOf" srcId="{C0A580E0-A761-49CC-A012-1D3588465EF2}" destId="{5AC0436B-E64E-431A-B458-19D9647E2854}" srcOrd="0" destOrd="0" presId="urn:microsoft.com/office/officeart/2005/8/layout/default"/>
    <dgm:cxn modelId="{9772147F-1F48-4355-A942-788F52628A5C}" type="presOf" srcId="{79DBC165-3D5C-45C1-B68D-04C73970FD0B}" destId="{C6397165-B91F-4991-A542-817402BF7E9A}" srcOrd="0" destOrd="0" presId="urn:microsoft.com/office/officeart/2005/8/layout/default"/>
    <dgm:cxn modelId="{9F44516F-2388-43BC-989D-E51E60AB21AB}" type="presOf" srcId="{CEA1367B-CD08-4250-9DAB-844CCC3E266A}" destId="{6464E3DA-73D1-4CE2-AB1A-37DBB0CCB41A}" srcOrd="0" destOrd="0" presId="urn:microsoft.com/office/officeart/2005/8/layout/default"/>
    <dgm:cxn modelId="{6FF53C0E-2B68-4BC2-B00C-CD0C9B3F15FA}" srcId="{0CE42346-1EA0-4D8C-988D-38AA2F701515}" destId="{CEA1367B-CD08-4250-9DAB-844CCC3E266A}" srcOrd="2" destOrd="0" parTransId="{4A75339F-1294-4225-9B6E-F8EB3A13F62F}" sibTransId="{094EB4B7-A47F-4C7F-A922-45D4DCC62AB5}"/>
    <dgm:cxn modelId="{72C94E25-AEC4-4DA4-A0D3-772F4C75AE44}" srcId="{0CE42346-1EA0-4D8C-988D-38AA2F701515}" destId="{F862DAF0-7CAC-40C1-A9B4-E46AE72E5E98}" srcOrd="6" destOrd="0" parTransId="{83F73FA6-4AA4-4782-960E-AB1C5B41FCB5}" sibTransId="{09B29165-5572-47E5-A390-ED5544F19B4B}"/>
    <dgm:cxn modelId="{E0D60E35-7391-47D0-B86D-7C1A06D9EE25}" type="presOf" srcId="{DAA21D86-160A-4793-97D9-9911EF6D4A72}" destId="{F82D984C-8B4B-4D4A-962A-0737080EC992}" srcOrd="0" destOrd="0" presId="urn:microsoft.com/office/officeart/2005/8/layout/default"/>
    <dgm:cxn modelId="{0105161B-D67F-4502-8BA8-D8B788C42A78}" srcId="{0CE42346-1EA0-4D8C-988D-38AA2F701515}" destId="{1A0FADBE-AE0D-4EE4-A550-4DB36AF54E3B}" srcOrd="0" destOrd="0" parTransId="{49A00B94-3BAF-40AE-A1E4-71DF00436961}" sibTransId="{697B7AB1-F001-44B3-8069-1764DD44A03F}"/>
    <dgm:cxn modelId="{CF2CA42B-794E-49B6-85A6-6090A317A448}" type="presOf" srcId="{67B5F2D1-48BC-49D0-A3CD-85306BA33C59}" destId="{33485B9D-634B-449D-ABC6-34E06DFD3EDC}" srcOrd="0" destOrd="0" presId="urn:microsoft.com/office/officeart/2005/8/layout/default"/>
    <dgm:cxn modelId="{3E39BE0F-5EB8-405D-8873-A54B349B5293}" type="presParOf" srcId="{13C08736-3618-4F71-B764-E4DF69DE38DA}" destId="{40313A8A-9A9A-445E-A4C4-79817B12C72B}" srcOrd="0" destOrd="0" presId="urn:microsoft.com/office/officeart/2005/8/layout/default"/>
    <dgm:cxn modelId="{4DA791B2-BD99-4526-A0C1-CB50FC707A83}" type="presParOf" srcId="{13C08736-3618-4F71-B764-E4DF69DE38DA}" destId="{06375630-CDC0-43B2-BAAE-BBC2B9D5078C}" srcOrd="1" destOrd="0" presId="urn:microsoft.com/office/officeart/2005/8/layout/default"/>
    <dgm:cxn modelId="{BFF4BDA8-7179-46B9-97C6-5F72C73A46D1}" type="presParOf" srcId="{13C08736-3618-4F71-B764-E4DF69DE38DA}" destId="{C6397165-B91F-4991-A542-817402BF7E9A}" srcOrd="2" destOrd="0" presId="urn:microsoft.com/office/officeart/2005/8/layout/default"/>
    <dgm:cxn modelId="{FB359A8F-3CB5-4C55-99E4-C85AC1D2AD49}" type="presParOf" srcId="{13C08736-3618-4F71-B764-E4DF69DE38DA}" destId="{C3210E56-1A98-4D09-A12B-B5251A1E0DEB}" srcOrd="3" destOrd="0" presId="urn:microsoft.com/office/officeart/2005/8/layout/default"/>
    <dgm:cxn modelId="{CD91053C-A021-4B57-8496-010B8EFF80A5}" type="presParOf" srcId="{13C08736-3618-4F71-B764-E4DF69DE38DA}" destId="{6464E3DA-73D1-4CE2-AB1A-37DBB0CCB41A}" srcOrd="4" destOrd="0" presId="urn:microsoft.com/office/officeart/2005/8/layout/default"/>
    <dgm:cxn modelId="{4440FBEF-3F17-4C22-BD78-243A2E95B92C}" type="presParOf" srcId="{13C08736-3618-4F71-B764-E4DF69DE38DA}" destId="{AA828DCA-4C28-4BC0-83FC-C9327FA85ED3}" srcOrd="5" destOrd="0" presId="urn:microsoft.com/office/officeart/2005/8/layout/default"/>
    <dgm:cxn modelId="{604E6B76-F0B8-4BE2-958C-4B0CED24B2A6}" type="presParOf" srcId="{13C08736-3618-4F71-B764-E4DF69DE38DA}" destId="{F82D984C-8B4B-4D4A-962A-0737080EC992}" srcOrd="6" destOrd="0" presId="urn:microsoft.com/office/officeart/2005/8/layout/default"/>
    <dgm:cxn modelId="{26CA71BA-94C5-4B86-8FAC-695570C7E063}" type="presParOf" srcId="{13C08736-3618-4F71-B764-E4DF69DE38DA}" destId="{0FE901FC-92FA-428E-A923-D8AD387FED9C}" srcOrd="7" destOrd="0" presId="urn:microsoft.com/office/officeart/2005/8/layout/default"/>
    <dgm:cxn modelId="{7E4CE298-34EB-4ED3-9702-CE3C1FE96186}" type="presParOf" srcId="{13C08736-3618-4F71-B764-E4DF69DE38DA}" destId="{33485B9D-634B-449D-ABC6-34E06DFD3EDC}" srcOrd="8" destOrd="0" presId="urn:microsoft.com/office/officeart/2005/8/layout/default"/>
    <dgm:cxn modelId="{6744D7CA-AC4C-41E0-95F3-05CCE906BDF8}" type="presParOf" srcId="{13C08736-3618-4F71-B764-E4DF69DE38DA}" destId="{1F00175C-C2E3-4591-93DA-060DF7998605}" srcOrd="9" destOrd="0" presId="urn:microsoft.com/office/officeart/2005/8/layout/default"/>
    <dgm:cxn modelId="{7BB572D5-7F3C-419B-8BCC-3241FABE840E}" type="presParOf" srcId="{13C08736-3618-4F71-B764-E4DF69DE38DA}" destId="{5AC0436B-E64E-431A-B458-19D9647E2854}" srcOrd="10" destOrd="0" presId="urn:microsoft.com/office/officeart/2005/8/layout/default"/>
    <dgm:cxn modelId="{2AFF8B9A-7E5A-4009-9F90-01D876A3544D}" type="presParOf" srcId="{13C08736-3618-4F71-B764-E4DF69DE38DA}" destId="{03993CCF-33BF-4EA6-B8D4-2253EA43AD45}" srcOrd="11" destOrd="0" presId="urn:microsoft.com/office/officeart/2005/8/layout/default"/>
    <dgm:cxn modelId="{B32EA653-8CD4-4159-9958-2037883B2B25}" type="presParOf" srcId="{13C08736-3618-4F71-B764-E4DF69DE38DA}" destId="{B5B81A04-CDF0-4D84-8D4A-32CB9B312ED1}" srcOrd="12" destOrd="0" presId="urn:microsoft.com/office/officeart/2005/8/layout/default"/>
  </dgm:cxnLst>
  <dgm:bg>
    <a:solidFill>
      <a:schemeClr val="accent2">
        <a:lumMod val="20000"/>
        <a:lumOff val="80000"/>
      </a:schemeClr>
    </a:solidFill>
  </dgm:bg>
  <dgm:whole>
    <a:ln>
      <a:solidFill>
        <a:srgbClr val="C00000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91633A-C83A-40C2-8785-ED2484EFB515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A390554-C28C-42C5-9EF3-802F559CA5C4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Ochiq tender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9203D4-0E2F-46E8-A509-C1A31C8C2454}" type="parTrans" cxnId="{466DC69C-C5CF-4EA9-856E-B0BFB7FFC2E1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9F7B26-D5F2-4BC2-9180-DD6DE198B04D}" type="sibTrans" cxnId="{466DC69C-C5CF-4EA9-856E-B0BFB7FFC2E1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562D41-7E01-4296-AE06-D4D0820CDA30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Yopiq tender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EACBE6-0C76-41B6-B765-1FC685D1C621}" type="parTrans" cxnId="{C19F0E94-9AA7-4356-AD32-2EC44C17E5FE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B5B2EA-E49E-4E0F-A15D-31531EA96409}" type="sibTrans" cxnId="{C19F0E94-9AA7-4356-AD32-2EC44C17E5FE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0CFDED-6DBD-4F3F-8EAA-5B5E96667E13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Tanlov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F055B7-0797-4944-BAD5-E6B28CDE90C0}" type="parTrans" cxnId="{E2D6C804-22D6-4D20-9919-9D4803CD81A8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4DA453-A0DC-4633-A4BD-F980FEA21A9A}" type="sibTrans" cxnId="{E2D6C804-22D6-4D20-9919-9D4803CD81A8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EAE11A-10B7-48D2-9182-F5C014E3AA30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Narx bo’yicha tender 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2CB02E-CC9D-4FAE-9C8A-AF1E76F78750}" type="parTrans" cxnId="{D0988234-2479-4695-9D41-2D2F620E1740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C9A292-1519-474A-A8E6-4B26406F0194}" type="sibTrans" cxnId="{D0988234-2479-4695-9D41-2D2F620E1740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930E6E-B335-41C4-944E-55A6E4C3668D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Texnik tender </a:t>
          </a:r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3B18E1-9150-4A7F-A29B-A35BDEE8128E}" type="parTrans" cxnId="{727DD321-074C-4DB9-B8AA-740FBCE937E2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A86B8F-53C6-4043-8518-A42DDB0B644C}" type="sibTrans" cxnId="{727DD321-074C-4DB9-B8AA-740FBCE937E2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0C3572-940F-4DA3-B76D-F60364B8D69D}" type="pres">
      <dgm:prSet presAssocID="{2691633A-C83A-40C2-8785-ED2484EFB51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1A32FFB-06E7-4C8E-9C91-02ED3527ADD5}" type="pres">
      <dgm:prSet presAssocID="{0A390554-C28C-42C5-9EF3-802F559CA5C4}" presName="parentLin" presStyleCnt="0"/>
      <dgm:spPr/>
    </dgm:pt>
    <dgm:pt modelId="{5B5C71E5-5A1D-44B6-A444-E61BC54C4EE9}" type="pres">
      <dgm:prSet presAssocID="{0A390554-C28C-42C5-9EF3-802F559CA5C4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A45E2D12-6EE7-49F7-9861-382C4D6E4EF5}" type="pres">
      <dgm:prSet presAssocID="{0A390554-C28C-42C5-9EF3-802F559CA5C4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1F3B92-04F1-4598-810E-9EAD17946D09}" type="pres">
      <dgm:prSet presAssocID="{0A390554-C28C-42C5-9EF3-802F559CA5C4}" presName="negativeSpace" presStyleCnt="0"/>
      <dgm:spPr/>
    </dgm:pt>
    <dgm:pt modelId="{E6CC77D3-1CCE-4655-9E96-C67C8A404480}" type="pres">
      <dgm:prSet presAssocID="{0A390554-C28C-42C5-9EF3-802F559CA5C4}" presName="childText" presStyleLbl="conFgAcc1" presStyleIdx="0" presStyleCnt="5">
        <dgm:presLayoutVars>
          <dgm:bulletEnabled val="1"/>
        </dgm:presLayoutVars>
      </dgm:prSet>
      <dgm:spPr/>
    </dgm:pt>
    <dgm:pt modelId="{22107804-7D7D-463A-8A66-57DB09B9E757}" type="pres">
      <dgm:prSet presAssocID="{2E9F7B26-D5F2-4BC2-9180-DD6DE198B04D}" presName="spaceBetweenRectangles" presStyleCnt="0"/>
      <dgm:spPr/>
    </dgm:pt>
    <dgm:pt modelId="{8EE5E601-85FD-478B-8BD6-B3210C4C6F85}" type="pres">
      <dgm:prSet presAssocID="{78562D41-7E01-4296-AE06-D4D0820CDA30}" presName="parentLin" presStyleCnt="0"/>
      <dgm:spPr/>
    </dgm:pt>
    <dgm:pt modelId="{393D18C4-940E-4DCF-85D2-E0CC4396BCF2}" type="pres">
      <dgm:prSet presAssocID="{78562D41-7E01-4296-AE06-D4D0820CDA30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52D59C30-E9BA-411E-83F8-EF4FA4A074DE}" type="pres">
      <dgm:prSet presAssocID="{78562D41-7E01-4296-AE06-D4D0820CDA30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4E0943-B131-40C1-8F13-4C88D172C9FB}" type="pres">
      <dgm:prSet presAssocID="{78562D41-7E01-4296-AE06-D4D0820CDA30}" presName="negativeSpace" presStyleCnt="0"/>
      <dgm:spPr/>
    </dgm:pt>
    <dgm:pt modelId="{C6C1E13B-A7AB-43E7-8A5A-69122376BBAB}" type="pres">
      <dgm:prSet presAssocID="{78562D41-7E01-4296-AE06-D4D0820CDA30}" presName="childText" presStyleLbl="conFgAcc1" presStyleIdx="1" presStyleCnt="5">
        <dgm:presLayoutVars>
          <dgm:bulletEnabled val="1"/>
        </dgm:presLayoutVars>
      </dgm:prSet>
      <dgm:spPr/>
    </dgm:pt>
    <dgm:pt modelId="{00C275ED-C41E-4D99-90C5-DF2FED830E59}" type="pres">
      <dgm:prSet presAssocID="{DEB5B2EA-E49E-4E0F-A15D-31531EA96409}" presName="spaceBetweenRectangles" presStyleCnt="0"/>
      <dgm:spPr/>
    </dgm:pt>
    <dgm:pt modelId="{8B3DF774-6136-4EE8-9723-DD287DBB950D}" type="pres">
      <dgm:prSet presAssocID="{340CFDED-6DBD-4F3F-8EAA-5B5E96667E13}" presName="parentLin" presStyleCnt="0"/>
      <dgm:spPr/>
    </dgm:pt>
    <dgm:pt modelId="{02693745-8AF0-4A5D-9725-5951D8574FDF}" type="pres">
      <dgm:prSet presAssocID="{340CFDED-6DBD-4F3F-8EAA-5B5E96667E13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B9D521C8-CA14-4CB4-840B-B7BA89431D9E}" type="pres">
      <dgm:prSet presAssocID="{340CFDED-6DBD-4F3F-8EAA-5B5E96667E13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C9B555-3563-44DC-95C4-53DF6D5C99A7}" type="pres">
      <dgm:prSet presAssocID="{340CFDED-6DBD-4F3F-8EAA-5B5E96667E13}" presName="negativeSpace" presStyleCnt="0"/>
      <dgm:spPr/>
    </dgm:pt>
    <dgm:pt modelId="{5A271BB7-0647-4090-945C-14C09D593EA3}" type="pres">
      <dgm:prSet presAssocID="{340CFDED-6DBD-4F3F-8EAA-5B5E96667E13}" presName="childText" presStyleLbl="conFgAcc1" presStyleIdx="2" presStyleCnt="5">
        <dgm:presLayoutVars>
          <dgm:bulletEnabled val="1"/>
        </dgm:presLayoutVars>
      </dgm:prSet>
      <dgm:spPr/>
    </dgm:pt>
    <dgm:pt modelId="{BAC5A053-1718-44F9-A493-7699CA9CE149}" type="pres">
      <dgm:prSet presAssocID="{6D4DA453-A0DC-4633-A4BD-F980FEA21A9A}" presName="spaceBetweenRectangles" presStyleCnt="0"/>
      <dgm:spPr/>
    </dgm:pt>
    <dgm:pt modelId="{41A4F3E8-4E31-4F7A-9E27-7FEAE32131EC}" type="pres">
      <dgm:prSet presAssocID="{CEEAE11A-10B7-48D2-9182-F5C014E3AA30}" presName="parentLin" presStyleCnt="0"/>
      <dgm:spPr/>
    </dgm:pt>
    <dgm:pt modelId="{B48931A5-1EAB-4BD6-BF2F-15252B50A3B1}" type="pres">
      <dgm:prSet presAssocID="{CEEAE11A-10B7-48D2-9182-F5C014E3AA30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9EDEC946-CEBC-459E-85ED-ADB91BEEE528}" type="pres">
      <dgm:prSet presAssocID="{CEEAE11A-10B7-48D2-9182-F5C014E3AA30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B2BB3D-462F-4477-BA13-A6980363E199}" type="pres">
      <dgm:prSet presAssocID="{CEEAE11A-10B7-48D2-9182-F5C014E3AA30}" presName="negativeSpace" presStyleCnt="0"/>
      <dgm:spPr/>
    </dgm:pt>
    <dgm:pt modelId="{9EDA4813-2493-416F-AB3C-E01FD2363D63}" type="pres">
      <dgm:prSet presAssocID="{CEEAE11A-10B7-48D2-9182-F5C014E3AA30}" presName="childText" presStyleLbl="conFgAcc1" presStyleIdx="3" presStyleCnt="5">
        <dgm:presLayoutVars>
          <dgm:bulletEnabled val="1"/>
        </dgm:presLayoutVars>
      </dgm:prSet>
      <dgm:spPr/>
    </dgm:pt>
    <dgm:pt modelId="{CC551990-1440-4CD5-B046-7F126B18506E}" type="pres">
      <dgm:prSet presAssocID="{D9C9A292-1519-474A-A8E6-4B26406F0194}" presName="spaceBetweenRectangles" presStyleCnt="0"/>
      <dgm:spPr/>
    </dgm:pt>
    <dgm:pt modelId="{9ED73FC8-F3A1-4FB2-9ECA-40213F03BF11}" type="pres">
      <dgm:prSet presAssocID="{CF930E6E-B335-41C4-944E-55A6E4C3668D}" presName="parentLin" presStyleCnt="0"/>
      <dgm:spPr/>
    </dgm:pt>
    <dgm:pt modelId="{DB1CFC4B-3F11-4EC9-84FF-2BC544F33B7A}" type="pres">
      <dgm:prSet presAssocID="{CF930E6E-B335-41C4-944E-55A6E4C3668D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4B3DA6F6-78A5-469F-8600-2EB424532485}" type="pres">
      <dgm:prSet presAssocID="{CF930E6E-B335-41C4-944E-55A6E4C3668D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84AEAB-DBE0-4B8E-B253-C6ADA9D25908}" type="pres">
      <dgm:prSet presAssocID="{CF930E6E-B335-41C4-944E-55A6E4C3668D}" presName="negativeSpace" presStyleCnt="0"/>
      <dgm:spPr/>
    </dgm:pt>
    <dgm:pt modelId="{FD4711D6-4EF7-4028-BA07-E8EEAA4A3F2A}" type="pres">
      <dgm:prSet presAssocID="{CF930E6E-B335-41C4-944E-55A6E4C3668D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E2D6C804-22D6-4D20-9919-9D4803CD81A8}" srcId="{2691633A-C83A-40C2-8785-ED2484EFB515}" destId="{340CFDED-6DBD-4F3F-8EAA-5B5E96667E13}" srcOrd="2" destOrd="0" parTransId="{43F055B7-0797-4944-BAD5-E6B28CDE90C0}" sibTransId="{6D4DA453-A0DC-4633-A4BD-F980FEA21A9A}"/>
    <dgm:cxn modelId="{B759C5BC-5F32-4DB0-BDB8-6B9BFFA53144}" type="presOf" srcId="{CF930E6E-B335-41C4-944E-55A6E4C3668D}" destId="{DB1CFC4B-3F11-4EC9-84FF-2BC544F33B7A}" srcOrd="0" destOrd="0" presId="urn:microsoft.com/office/officeart/2005/8/layout/list1"/>
    <dgm:cxn modelId="{9CEAE4CA-541B-4EDB-9B58-ECAC485BAC65}" type="presOf" srcId="{340CFDED-6DBD-4F3F-8EAA-5B5E96667E13}" destId="{B9D521C8-CA14-4CB4-840B-B7BA89431D9E}" srcOrd="1" destOrd="0" presId="urn:microsoft.com/office/officeart/2005/8/layout/list1"/>
    <dgm:cxn modelId="{727DD321-074C-4DB9-B8AA-740FBCE937E2}" srcId="{2691633A-C83A-40C2-8785-ED2484EFB515}" destId="{CF930E6E-B335-41C4-944E-55A6E4C3668D}" srcOrd="4" destOrd="0" parTransId="{183B18E1-9150-4A7F-A29B-A35BDEE8128E}" sibTransId="{D2A86B8F-53C6-4043-8518-A42DDB0B644C}"/>
    <dgm:cxn modelId="{B8745D6A-929E-4870-811D-28C6789FC873}" type="presOf" srcId="{340CFDED-6DBD-4F3F-8EAA-5B5E96667E13}" destId="{02693745-8AF0-4A5D-9725-5951D8574FDF}" srcOrd="0" destOrd="0" presId="urn:microsoft.com/office/officeart/2005/8/layout/list1"/>
    <dgm:cxn modelId="{B467C86A-6F91-45AB-8906-ADFCFE20F2D5}" type="presOf" srcId="{CF930E6E-B335-41C4-944E-55A6E4C3668D}" destId="{4B3DA6F6-78A5-469F-8600-2EB424532485}" srcOrd="1" destOrd="0" presId="urn:microsoft.com/office/officeart/2005/8/layout/list1"/>
    <dgm:cxn modelId="{466DC69C-C5CF-4EA9-856E-B0BFB7FFC2E1}" srcId="{2691633A-C83A-40C2-8785-ED2484EFB515}" destId="{0A390554-C28C-42C5-9EF3-802F559CA5C4}" srcOrd="0" destOrd="0" parTransId="{029203D4-0E2F-46E8-A509-C1A31C8C2454}" sibTransId="{2E9F7B26-D5F2-4BC2-9180-DD6DE198B04D}"/>
    <dgm:cxn modelId="{A491B7E5-92E6-4A28-8BE2-1811F2F392D2}" type="presOf" srcId="{78562D41-7E01-4296-AE06-D4D0820CDA30}" destId="{393D18C4-940E-4DCF-85D2-E0CC4396BCF2}" srcOrd="0" destOrd="0" presId="urn:microsoft.com/office/officeart/2005/8/layout/list1"/>
    <dgm:cxn modelId="{996E290B-BE89-43BA-87A6-976E79C1D3A4}" type="presOf" srcId="{2691633A-C83A-40C2-8785-ED2484EFB515}" destId="{000C3572-940F-4DA3-B76D-F60364B8D69D}" srcOrd="0" destOrd="0" presId="urn:microsoft.com/office/officeart/2005/8/layout/list1"/>
    <dgm:cxn modelId="{C19F0E94-9AA7-4356-AD32-2EC44C17E5FE}" srcId="{2691633A-C83A-40C2-8785-ED2484EFB515}" destId="{78562D41-7E01-4296-AE06-D4D0820CDA30}" srcOrd="1" destOrd="0" parTransId="{50EACBE6-0C76-41B6-B765-1FC685D1C621}" sibTransId="{DEB5B2EA-E49E-4E0F-A15D-31531EA96409}"/>
    <dgm:cxn modelId="{D0988234-2479-4695-9D41-2D2F620E1740}" srcId="{2691633A-C83A-40C2-8785-ED2484EFB515}" destId="{CEEAE11A-10B7-48D2-9182-F5C014E3AA30}" srcOrd="3" destOrd="0" parTransId="{8B2CB02E-CC9D-4FAE-9C8A-AF1E76F78750}" sibTransId="{D9C9A292-1519-474A-A8E6-4B26406F0194}"/>
    <dgm:cxn modelId="{F53DB809-B00A-4FBD-902F-FEA060BD2CC8}" type="presOf" srcId="{0A390554-C28C-42C5-9EF3-802F559CA5C4}" destId="{A45E2D12-6EE7-49F7-9861-382C4D6E4EF5}" srcOrd="1" destOrd="0" presId="urn:microsoft.com/office/officeart/2005/8/layout/list1"/>
    <dgm:cxn modelId="{C24F806A-F61D-455B-ADA8-B11C28E3ABA7}" type="presOf" srcId="{78562D41-7E01-4296-AE06-D4D0820CDA30}" destId="{52D59C30-E9BA-411E-83F8-EF4FA4A074DE}" srcOrd="1" destOrd="0" presId="urn:microsoft.com/office/officeart/2005/8/layout/list1"/>
    <dgm:cxn modelId="{C5694564-85F1-46E0-BFF0-E10C89991E6D}" type="presOf" srcId="{0A390554-C28C-42C5-9EF3-802F559CA5C4}" destId="{5B5C71E5-5A1D-44B6-A444-E61BC54C4EE9}" srcOrd="0" destOrd="0" presId="urn:microsoft.com/office/officeart/2005/8/layout/list1"/>
    <dgm:cxn modelId="{9C20732A-CAA9-430D-AB41-7EE3AB89D65F}" type="presOf" srcId="{CEEAE11A-10B7-48D2-9182-F5C014E3AA30}" destId="{9EDEC946-CEBC-459E-85ED-ADB91BEEE528}" srcOrd="1" destOrd="0" presId="urn:microsoft.com/office/officeart/2005/8/layout/list1"/>
    <dgm:cxn modelId="{104E6D53-8942-4079-867D-173BE13BEAFC}" type="presOf" srcId="{CEEAE11A-10B7-48D2-9182-F5C014E3AA30}" destId="{B48931A5-1EAB-4BD6-BF2F-15252B50A3B1}" srcOrd="0" destOrd="0" presId="urn:microsoft.com/office/officeart/2005/8/layout/list1"/>
    <dgm:cxn modelId="{6BA42C6E-E40B-4891-9A18-49DB73EFBF3C}" type="presParOf" srcId="{000C3572-940F-4DA3-B76D-F60364B8D69D}" destId="{71A32FFB-06E7-4C8E-9C91-02ED3527ADD5}" srcOrd="0" destOrd="0" presId="urn:microsoft.com/office/officeart/2005/8/layout/list1"/>
    <dgm:cxn modelId="{18E9E3A4-F7E5-4D86-B64C-E11617C67EE9}" type="presParOf" srcId="{71A32FFB-06E7-4C8E-9C91-02ED3527ADD5}" destId="{5B5C71E5-5A1D-44B6-A444-E61BC54C4EE9}" srcOrd="0" destOrd="0" presId="urn:microsoft.com/office/officeart/2005/8/layout/list1"/>
    <dgm:cxn modelId="{749689B2-1EA8-4C3E-8504-1D8AC67137B0}" type="presParOf" srcId="{71A32FFB-06E7-4C8E-9C91-02ED3527ADD5}" destId="{A45E2D12-6EE7-49F7-9861-382C4D6E4EF5}" srcOrd="1" destOrd="0" presId="urn:microsoft.com/office/officeart/2005/8/layout/list1"/>
    <dgm:cxn modelId="{EEF30060-46AA-4269-B57E-8F1DBBC8C3CC}" type="presParOf" srcId="{000C3572-940F-4DA3-B76D-F60364B8D69D}" destId="{071F3B92-04F1-4598-810E-9EAD17946D09}" srcOrd="1" destOrd="0" presId="urn:microsoft.com/office/officeart/2005/8/layout/list1"/>
    <dgm:cxn modelId="{FD62FD48-0615-43FC-A23D-1EC2C15AA5D8}" type="presParOf" srcId="{000C3572-940F-4DA3-B76D-F60364B8D69D}" destId="{E6CC77D3-1CCE-4655-9E96-C67C8A404480}" srcOrd="2" destOrd="0" presId="urn:microsoft.com/office/officeart/2005/8/layout/list1"/>
    <dgm:cxn modelId="{1A19EEA1-9EF4-4682-97D7-98F1519EE378}" type="presParOf" srcId="{000C3572-940F-4DA3-B76D-F60364B8D69D}" destId="{22107804-7D7D-463A-8A66-57DB09B9E757}" srcOrd="3" destOrd="0" presId="urn:microsoft.com/office/officeart/2005/8/layout/list1"/>
    <dgm:cxn modelId="{6AA798E6-7BAE-4253-98AD-8FB201F2F189}" type="presParOf" srcId="{000C3572-940F-4DA3-B76D-F60364B8D69D}" destId="{8EE5E601-85FD-478B-8BD6-B3210C4C6F85}" srcOrd="4" destOrd="0" presId="urn:microsoft.com/office/officeart/2005/8/layout/list1"/>
    <dgm:cxn modelId="{224FA498-5D1B-46DD-AB49-CA5710369BD6}" type="presParOf" srcId="{8EE5E601-85FD-478B-8BD6-B3210C4C6F85}" destId="{393D18C4-940E-4DCF-85D2-E0CC4396BCF2}" srcOrd="0" destOrd="0" presId="urn:microsoft.com/office/officeart/2005/8/layout/list1"/>
    <dgm:cxn modelId="{33B01711-0F29-4FD1-81C7-8EC707417A56}" type="presParOf" srcId="{8EE5E601-85FD-478B-8BD6-B3210C4C6F85}" destId="{52D59C30-E9BA-411E-83F8-EF4FA4A074DE}" srcOrd="1" destOrd="0" presId="urn:microsoft.com/office/officeart/2005/8/layout/list1"/>
    <dgm:cxn modelId="{7A41EBF3-6CE5-4165-9FDC-E5058D69BBE5}" type="presParOf" srcId="{000C3572-940F-4DA3-B76D-F60364B8D69D}" destId="{ED4E0943-B131-40C1-8F13-4C88D172C9FB}" srcOrd="5" destOrd="0" presId="urn:microsoft.com/office/officeart/2005/8/layout/list1"/>
    <dgm:cxn modelId="{639C16EA-4A17-47FF-9A98-577547490B36}" type="presParOf" srcId="{000C3572-940F-4DA3-B76D-F60364B8D69D}" destId="{C6C1E13B-A7AB-43E7-8A5A-69122376BBAB}" srcOrd="6" destOrd="0" presId="urn:microsoft.com/office/officeart/2005/8/layout/list1"/>
    <dgm:cxn modelId="{9DBEEBC3-AC68-462D-9C5F-205642A0A3ED}" type="presParOf" srcId="{000C3572-940F-4DA3-B76D-F60364B8D69D}" destId="{00C275ED-C41E-4D99-90C5-DF2FED830E59}" srcOrd="7" destOrd="0" presId="urn:microsoft.com/office/officeart/2005/8/layout/list1"/>
    <dgm:cxn modelId="{2DF04684-505C-474C-BA91-23464B67284E}" type="presParOf" srcId="{000C3572-940F-4DA3-B76D-F60364B8D69D}" destId="{8B3DF774-6136-4EE8-9723-DD287DBB950D}" srcOrd="8" destOrd="0" presId="urn:microsoft.com/office/officeart/2005/8/layout/list1"/>
    <dgm:cxn modelId="{F76883B8-BAD7-4EB7-AF91-37B1A910B757}" type="presParOf" srcId="{8B3DF774-6136-4EE8-9723-DD287DBB950D}" destId="{02693745-8AF0-4A5D-9725-5951D8574FDF}" srcOrd="0" destOrd="0" presId="urn:microsoft.com/office/officeart/2005/8/layout/list1"/>
    <dgm:cxn modelId="{1FAEE9F5-91D1-4AE7-890F-80910FB692DF}" type="presParOf" srcId="{8B3DF774-6136-4EE8-9723-DD287DBB950D}" destId="{B9D521C8-CA14-4CB4-840B-B7BA89431D9E}" srcOrd="1" destOrd="0" presId="urn:microsoft.com/office/officeart/2005/8/layout/list1"/>
    <dgm:cxn modelId="{8C23783F-6FB8-4C93-9352-CBA47F951D0F}" type="presParOf" srcId="{000C3572-940F-4DA3-B76D-F60364B8D69D}" destId="{8EC9B555-3563-44DC-95C4-53DF6D5C99A7}" srcOrd="9" destOrd="0" presId="urn:microsoft.com/office/officeart/2005/8/layout/list1"/>
    <dgm:cxn modelId="{0B4EB1AC-47FA-4017-B430-3949C10CDAC5}" type="presParOf" srcId="{000C3572-940F-4DA3-B76D-F60364B8D69D}" destId="{5A271BB7-0647-4090-945C-14C09D593EA3}" srcOrd="10" destOrd="0" presId="urn:microsoft.com/office/officeart/2005/8/layout/list1"/>
    <dgm:cxn modelId="{FE249B2A-E188-4298-A808-1A94D18FE6CD}" type="presParOf" srcId="{000C3572-940F-4DA3-B76D-F60364B8D69D}" destId="{BAC5A053-1718-44F9-A493-7699CA9CE149}" srcOrd="11" destOrd="0" presId="urn:microsoft.com/office/officeart/2005/8/layout/list1"/>
    <dgm:cxn modelId="{E974739B-74E4-4526-B1D7-859E2AE7849B}" type="presParOf" srcId="{000C3572-940F-4DA3-B76D-F60364B8D69D}" destId="{41A4F3E8-4E31-4F7A-9E27-7FEAE32131EC}" srcOrd="12" destOrd="0" presId="urn:microsoft.com/office/officeart/2005/8/layout/list1"/>
    <dgm:cxn modelId="{EB1ED746-AA1C-47E0-905B-C49F0902133F}" type="presParOf" srcId="{41A4F3E8-4E31-4F7A-9E27-7FEAE32131EC}" destId="{B48931A5-1EAB-4BD6-BF2F-15252B50A3B1}" srcOrd="0" destOrd="0" presId="urn:microsoft.com/office/officeart/2005/8/layout/list1"/>
    <dgm:cxn modelId="{D88EDF92-BA96-4C81-8E5C-1913D8598642}" type="presParOf" srcId="{41A4F3E8-4E31-4F7A-9E27-7FEAE32131EC}" destId="{9EDEC946-CEBC-459E-85ED-ADB91BEEE528}" srcOrd="1" destOrd="0" presId="urn:microsoft.com/office/officeart/2005/8/layout/list1"/>
    <dgm:cxn modelId="{5BF02BE0-C5BB-474E-B44F-EF56EB311C54}" type="presParOf" srcId="{000C3572-940F-4DA3-B76D-F60364B8D69D}" destId="{02B2BB3D-462F-4477-BA13-A6980363E199}" srcOrd="13" destOrd="0" presId="urn:microsoft.com/office/officeart/2005/8/layout/list1"/>
    <dgm:cxn modelId="{CB589A3A-0D93-4D45-9086-AB59EDE6EBFA}" type="presParOf" srcId="{000C3572-940F-4DA3-B76D-F60364B8D69D}" destId="{9EDA4813-2493-416F-AB3C-E01FD2363D63}" srcOrd="14" destOrd="0" presId="urn:microsoft.com/office/officeart/2005/8/layout/list1"/>
    <dgm:cxn modelId="{09C11048-45EB-4113-85A5-61F79126C146}" type="presParOf" srcId="{000C3572-940F-4DA3-B76D-F60364B8D69D}" destId="{CC551990-1440-4CD5-B046-7F126B18506E}" srcOrd="15" destOrd="0" presId="urn:microsoft.com/office/officeart/2005/8/layout/list1"/>
    <dgm:cxn modelId="{216525AC-93FF-4F6F-8F00-376E20A8DBFA}" type="presParOf" srcId="{000C3572-940F-4DA3-B76D-F60364B8D69D}" destId="{9ED73FC8-F3A1-4FB2-9ECA-40213F03BF11}" srcOrd="16" destOrd="0" presId="urn:microsoft.com/office/officeart/2005/8/layout/list1"/>
    <dgm:cxn modelId="{385159AD-7969-410D-9E1C-135D7245B2D5}" type="presParOf" srcId="{9ED73FC8-F3A1-4FB2-9ECA-40213F03BF11}" destId="{DB1CFC4B-3F11-4EC9-84FF-2BC544F33B7A}" srcOrd="0" destOrd="0" presId="urn:microsoft.com/office/officeart/2005/8/layout/list1"/>
    <dgm:cxn modelId="{6BE0EBCD-D30D-48DA-97F2-2BCE89A32DF2}" type="presParOf" srcId="{9ED73FC8-F3A1-4FB2-9ECA-40213F03BF11}" destId="{4B3DA6F6-78A5-469F-8600-2EB424532485}" srcOrd="1" destOrd="0" presId="urn:microsoft.com/office/officeart/2005/8/layout/list1"/>
    <dgm:cxn modelId="{158697E2-736F-47D2-B209-E2B9B4E9745A}" type="presParOf" srcId="{000C3572-940F-4DA3-B76D-F60364B8D69D}" destId="{3E84AEAB-DBE0-4B8E-B253-C6ADA9D25908}" srcOrd="17" destOrd="0" presId="urn:microsoft.com/office/officeart/2005/8/layout/list1"/>
    <dgm:cxn modelId="{EF3D0EC9-22F3-4A2C-97F3-33CFC8246BEA}" type="presParOf" srcId="{000C3572-940F-4DA3-B76D-F60364B8D69D}" destId="{FD4711D6-4EF7-4028-BA07-E8EEAA4A3F2A}" srcOrd="18" destOrd="0" presId="urn:microsoft.com/office/officeart/2005/8/layout/list1"/>
  </dgm:cxnLst>
  <dgm:bg>
    <a:solidFill>
      <a:schemeClr val="bg2"/>
    </a:solidFill>
  </dgm:bg>
  <dgm:whole>
    <a:ln>
      <a:solidFill>
        <a:srgbClr val="C00000"/>
      </a:solidFill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13A8A-9A9A-445E-A4C4-79817B12C72B}">
      <dsp:nvSpPr>
        <dsp:cNvPr id="0" name=""/>
        <dsp:cNvSpPr/>
      </dsp:nvSpPr>
      <dsp:spPr>
        <a:xfrm>
          <a:off x="425338" y="1518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Talablarni aniqlash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5338" y="1518"/>
        <a:ext cx="1370081" cy="822049"/>
      </dsp:txXfrm>
    </dsp:sp>
    <dsp:sp modelId="{C6397165-B91F-4991-A542-817402BF7E9A}">
      <dsp:nvSpPr>
        <dsp:cNvPr id="0" name=""/>
        <dsp:cNvSpPr/>
      </dsp:nvSpPr>
      <dsp:spPr>
        <a:xfrm>
          <a:off x="1932429" y="1518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Tender hujjatlarini tayyorlash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32429" y="1518"/>
        <a:ext cx="1370081" cy="822049"/>
      </dsp:txXfrm>
    </dsp:sp>
    <dsp:sp modelId="{6464E3DA-73D1-4CE2-AB1A-37DBB0CCB41A}">
      <dsp:nvSpPr>
        <dsp:cNvPr id="0" name=""/>
        <dsp:cNvSpPr/>
      </dsp:nvSpPr>
      <dsp:spPr>
        <a:xfrm>
          <a:off x="3439519" y="1518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Tender e’lon qilish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39519" y="1518"/>
        <a:ext cx="1370081" cy="822049"/>
      </dsp:txXfrm>
    </dsp:sp>
    <dsp:sp modelId="{F82D984C-8B4B-4D4A-962A-0737080EC992}">
      <dsp:nvSpPr>
        <dsp:cNvPr id="0" name=""/>
        <dsp:cNvSpPr/>
      </dsp:nvSpPr>
      <dsp:spPr>
        <a:xfrm>
          <a:off x="425338" y="960575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Takliflarni qabul qilish va baholash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5338" y="960575"/>
        <a:ext cx="1370081" cy="822049"/>
      </dsp:txXfrm>
    </dsp:sp>
    <dsp:sp modelId="{33485B9D-634B-449D-ABC6-34E06DFD3EDC}">
      <dsp:nvSpPr>
        <dsp:cNvPr id="0" name=""/>
        <dsp:cNvSpPr/>
      </dsp:nvSpPr>
      <dsp:spPr>
        <a:xfrm>
          <a:off x="1932429" y="960575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Tanlov va shartnoma tuzish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32429" y="960575"/>
        <a:ext cx="1370081" cy="822049"/>
      </dsp:txXfrm>
    </dsp:sp>
    <dsp:sp modelId="{5AC0436B-E64E-431A-B458-19D9647E2854}">
      <dsp:nvSpPr>
        <dsp:cNvPr id="0" name=""/>
        <dsp:cNvSpPr/>
      </dsp:nvSpPr>
      <dsp:spPr>
        <a:xfrm>
          <a:off x="3439519" y="960575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Loyihani amalga oshirish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39519" y="960575"/>
        <a:ext cx="1370081" cy="822049"/>
      </dsp:txXfrm>
    </dsp:sp>
    <dsp:sp modelId="{B5B81A04-CDF0-4D84-8D4A-32CB9B312ED1}">
      <dsp:nvSpPr>
        <dsp:cNvPr id="0" name=""/>
        <dsp:cNvSpPr/>
      </dsp:nvSpPr>
      <dsp:spPr>
        <a:xfrm>
          <a:off x="1932429" y="1919632"/>
          <a:ext cx="1370081" cy="822049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Monitoring va baholash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32429" y="1919632"/>
        <a:ext cx="1370081" cy="8220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CC77D3-1CCE-4655-9E96-C67C8A404480}">
      <dsp:nvSpPr>
        <dsp:cNvPr id="0" name=""/>
        <dsp:cNvSpPr/>
      </dsp:nvSpPr>
      <dsp:spPr>
        <a:xfrm>
          <a:off x="0" y="247679"/>
          <a:ext cx="535686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5E2D12-6EE7-49F7-9861-382C4D6E4EF5}">
      <dsp:nvSpPr>
        <dsp:cNvPr id="0" name=""/>
        <dsp:cNvSpPr/>
      </dsp:nvSpPr>
      <dsp:spPr>
        <a:xfrm>
          <a:off x="267843" y="85319"/>
          <a:ext cx="3749802" cy="3247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1734" tIns="0" rIns="14173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Ochiq tender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3695" y="101171"/>
        <a:ext cx="3718098" cy="293016"/>
      </dsp:txXfrm>
    </dsp:sp>
    <dsp:sp modelId="{C6C1E13B-A7AB-43E7-8A5A-69122376BBAB}">
      <dsp:nvSpPr>
        <dsp:cNvPr id="0" name=""/>
        <dsp:cNvSpPr/>
      </dsp:nvSpPr>
      <dsp:spPr>
        <a:xfrm>
          <a:off x="0" y="746639"/>
          <a:ext cx="535686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D59C30-E9BA-411E-83F8-EF4FA4A074DE}">
      <dsp:nvSpPr>
        <dsp:cNvPr id="0" name=""/>
        <dsp:cNvSpPr/>
      </dsp:nvSpPr>
      <dsp:spPr>
        <a:xfrm>
          <a:off x="267843" y="584280"/>
          <a:ext cx="3749802" cy="3247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1734" tIns="0" rIns="14173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Yopiq tender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3695" y="600132"/>
        <a:ext cx="3718098" cy="293016"/>
      </dsp:txXfrm>
    </dsp:sp>
    <dsp:sp modelId="{5A271BB7-0647-4090-945C-14C09D593EA3}">
      <dsp:nvSpPr>
        <dsp:cNvPr id="0" name=""/>
        <dsp:cNvSpPr/>
      </dsp:nvSpPr>
      <dsp:spPr>
        <a:xfrm>
          <a:off x="0" y="1245600"/>
          <a:ext cx="535686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D521C8-CA14-4CB4-840B-B7BA89431D9E}">
      <dsp:nvSpPr>
        <dsp:cNvPr id="0" name=""/>
        <dsp:cNvSpPr/>
      </dsp:nvSpPr>
      <dsp:spPr>
        <a:xfrm>
          <a:off x="267843" y="1083240"/>
          <a:ext cx="3749802" cy="3247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1734" tIns="0" rIns="14173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Tanlov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3695" y="1099092"/>
        <a:ext cx="3718098" cy="293016"/>
      </dsp:txXfrm>
    </dsp:sp>
    <dsp:sp modelId="{9EDA4813-2493-416F-AB3C-E01FD2363D63}">
      <dsp:nvSpPr>
        <dsp:cNvPr id="0" name=""/>
        <dsp:cNvSpPr/>
      </dsp:nvSpPr>
      <dsp:spPr>
        <a:xfrm>
          <a:off x="0" y="1744560"/>
          <a:ext cx="535686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DEC946-CEBC-459E-85ED-ADB91BEEE528}">
      <dsp:nvSpPr>
        <dsp:cNvPr id="0" name=""/>
        <dsp:cNvSpPr/>
      </dsp:nvSpPr>
      <dsp:spPr>
        <a:xfrm>
          <a:off x="267843" y="1582200"/>
          <a:ext cx="3749802" cy="3247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1734" tIns="0" rIns="14173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Narx bo’yicha tender 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3695" y="1598052"/>
        <a:ext cx="3718098" cy="293016"/>
      </dsp:txXfrm>
    </dsp:sp>
    <dsp:sp modelId="{FD4711D6-4EF7-4028-BA07-E8EEAA4A3F2A}">
      <dsp:nvSpPr>
        <dsp:cNvPr id="0" name=""/>
        <dsp:cNvSpPr/>
      </dsp:nvSpPr>
      <dsp:spPr>
        <a:xfrm>
          <a:off x="0" y="2243520"/>
          <a:ext cx="535686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3DA6F6-78A5-469F-8600-2EB424532485}">
      <dsp:nvSpPr>
        <dsp:cNvPr id="0" name=""/>
        <dsp:cNvSpPr/>
      </dsp:nvSpPr>
      <dsp:spPr>
        <a:xfrm>
          <a:off x="267843" y="2081160"/>
          <a:ext cx="3749802" cy="324720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1734" tIns="0" rIns="14173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Texnik tender </a:t>
          </a:r>
          <a:endParaRPr lang="ru-RU" sz="14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3695" y="2097012"/>
        <a:ext cx="3718098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6</cp:revision>
  <dcterms:created xsi:type="dcterms:W3CDTF">2025-02-15T06:55:00Z</dcterms:created>
  <dcterms:modified xsi:type="dcterms:W3CDTF">2025-03-23T08:17:00Z</dcterms:modified>
</cp:coreProperties>
</file>